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400"/>
        <w:tblW w:w="0" w:type="auto"/>
        <w:tblLook w:val="04A0" w:firstRow="1" w:lastRow="0" w:firstColumn="1" w:lastColumn="0" w:noHBand="0" w:noVBand="1"/>
      </w:tblPr>
      <w:tblGrid>
        <w:gridCol w:w="4464"/>
        <w:gridCol w:w="6832"/>
        <w:gridCol w:w="1880"/>
      </w:tblGrid>
      <w:tr w:rsidR="003D1E74" w:rsidTr="00957C2F">
        <w:trPr>
          <w:trHeight w:val="354"/>
        </w:trPr>
        <w:tc>
          <w:tcPr>
            <w:tcW w:w="0" w:type="auto"/>
            <w:shd w:val="clear" w:color="auto" w:fill="000000" w:themeFill="text1"/>
          </w:tcPr>
          <w:p w:rsidR="003D1E74" w:rsidRPr="003D1E74" w:rsidRDefault="003D1E74" w:rsidP="00957C2F">
            <w:pPr>
              <w:jc w:val="center"/>
              <w:rPr>
                <w:rFonts w:ascii="Garamond" w:hAnsi="Garamond"/>
                <w:b/>
                <w:i/>
                <w:color w:val="FFFFFF" w:themeColor="background1"/>
                <w:sz w:val="24"/>
                <w:szCs w:val="24"/>
              </w:rPr>
            </w:pPr>
            <w:r>
              <w:rPr>
                <w:rFonts w:ascii="Garamond" w:hAnsi="Garamond"/>
                <w:b/>
                <w:i/>
                <w:color w:val="FFFFFF" w:themeColor="background1"/>
                <w:sz w:val="24"/>
                <w:szCs w:val="24"/>
              </w:rPr>
              <w:t>Citation</w:t>
            </w:r>
          </w:p>
        </w:tc>
        <w:tc>
          <w:tcPr>
            <w:tcW w:w="0" w:type="auto"/>
            <w:shd w:val="clear" w:color="auto" w:fill="000000" w:themeFill="text1"/>
          </w:tcPr>
          <w:p w:rsidR="003D1E74" w:rsidRPr="003D1E74" w:rsidRDefault="003D1E74" w:rsidP="00957C2F">
            <w:pPr>
              <w:jc w:val="center"/>
              <w:rPr>
                <w:rFonts w:ascii="Garamond" w:hAnsi="Garamond"/>
                <w:b/>
                <w:i/>
                <w:color w:val="FFFFFF" w:themeColor="background1"/>
                <w:sz w:val="24"/>
                <w:szCs w:val="24"/>
              </w:rPr>
            </w:pPr>
            <w:r>
              <w:rPr>
                <w:rFonts w:ascii="Garamond" w:hAnsi="Garamond"/>
                <w:b/>
                <w:i/>
                <w:color w:val="FFFFFF" w:themeColor="background1"/>
                <w:sz w:val="24"/>
                <w:szCs w:val="24"/>
              </w:rPr>
              <w:t>Proposition</w:t>
            </w:r>
          </w:p>
        </w:tc>
        <w:tc>
          <w:tcPr>
            <w:tcW w:w="0" w:type="auto"/>
            <w:shd w:val="clear" w:color="auto" w:fill="000000" w:themeFill="text1"/>
          </w:tcPr>
          <w:p w:rsidR="003D1E74" w:rsidRPr="003D1E74" w:rsidRDefault="003D1E74" w:rsidP="00957C2F">
            <w:pPr>
              <w:jc w:val="center"/>
              <w:rPr>
                <w:rFonts w:ascii="Garamond" w:hAnsi="Garamond"/>
                <w:b/>
                <w:i/>
                <w:color w:val="FFFFFF" w:themeColor="background1"/>
                <w:sz w:val="24"/>
                <w:szCs w:val="24"/>
              </w:rPr>
            </w:pPr>
            <w:r>
              <w:rPr>
                <w:rFonts w:ascii="Garamond" w:hAnsi="Garamond"/>
                <w:b/>
                <w:i/>
                <w:color w:val="FFFFFF" w:themeColor="background1"/>
                <w:sz w:val="24"/>
                <w:szCs w:val="24"/>
              </w:rPr>
              <w:t>Outline Section</w:t>
            </w:r>
          </w:p>
        </w:tc>
      </w:tr>
      <w:tr w:rsidR="003D1E74" w:rsidTr="00957C2F">
        <w:trPr>
          <w:trHeight w:val="1865"/>
        </w:trPr>
        <w:tc>
          <w:tcPr>
            <w:tcW w:w="0" w:type="auto"/>
          </w:tcPr>
          <w:p w:rsidR="003D1E74" w:rsidRPr="000E7EE3" w:rsidRDefault="003D1E74" w:rsidP="00957C2F">
            <w:pPr>
              <w:rPr>
                <w:rFonts w:ascii="Garamond" w:hAnsi="Garamond"/>
                <w:sz w:val="24"/>
                <w:szCs w:val="24"/>
              </w:rPr>
            </w:pPr>
            <w:r>
              <w:rPr>
                <w:rFonts w:ascii="Garamond" w:hAnsi="Garamond"/>
                <w:sz w:val="24"/>
                <w:szCs w:val="24"/>
              </w:rPr>
              <w:t xml:space="preserve">Elizabeth N. Jones, </w:t>
            </w:r>
            <w:r w:rsidR="000E7EE3">
              <w:rPr>
                <w:rFonts w:ascii="Garamond" w:hAnsi="Garamond"/>
                <w:i/>
                <w:sz w:val="24"/>
                <w:szCs w:val="24"/>
              </w:rPr>
              <w:t xml:space="preserve">Disproportionate Representation of Minority Youth in the Juvenile Justice System: A Lack of Clarity and Too Much Disparity Among States “Addressing” the Issue, </w:t>
            </w:r>
            <w:r w:rsidR="000E7EE3">
              <w:rPr>
                <w:rFonts w:ascii="Garamond" w:hAnsi="Garamond"/>
                <w:sz w:val="24"/>
                <w:szCs w:val="24"/>
              </w:rPr>
              <w:t xml:space="preserve">16 U.C. Davis J. Juv. L. &amp; </w:t>
            </w:r>
            <w:proofErr w:type="spellStart"/>
            <w:r w:rsidR="000E7EE3">
              <w:rPr>
                <w:rFonts w:ascii="Garamond" w:hAnsi="Garamond"/>
                <w:sz w:val="24"/>
                <w:szCs w:val="24"/>
              </w:rPr>
              <w:t>Pol’y</w:t>
            </w:r>
            <w:proofErr w:type="spellEnd"/>
            <w:r w:rsidR="000E7EE3">
              <w:rPr>
                <w:rFonts w:ascii="Garamond" w:hAnsi="Garamond"/>
                <w:sz w:val="24"/>
                <w:szCs w:val="24"/>
              </w:rPr>
              <w:t xml:space="preserve"> 155 (Winter 2012).</w:t>
            </w:r>
          </w:p>
        </w:tc>
        <w:tc>
          <w:tcPr>
            <w:tcW w:w="0" w:type="auto"/>
          </w:tcPr>
          <w:p w:rsidR="003D1E74" w:rsidRPr="00B02249" w:rsidRDefault="00B02249" w:rsidP="00957C2F">
            <w:pPr>
              <w:rPr>
                <w:rFonts w:ascii="Garamond" w:hAnsi="Garamond"/>
                <w:sz w:val="24"/>
                <w:szCs w:val="24"/>
                <w:u w:val="single"/>
              </w:rPr>
            </w:pPr>
            <w:r w:rsidRPr="00B02249">
              <w:rPr>
                <w:rFonts w:ascii="Garamond" w:hAnsi="Garamond"/>
                <w:sz w:val="24"/>
                <w:szCs w:val="24"/>
                <w:u w:val="single"/>
              </w:rPr>
              <w:t>History:</w:t>
            </w:r>
          </w:p>
          <w:p w:rsidR="00B02249" w:rsidRDefault="00B02249" w:rsidP="00BB24D1">
            <w:pPr>
              <w:ind w:firstLine="341"/>
              <w:rPr>
                <w:rFonts w:ascii="Garamond" w:hAnsi="Garamond"/>
                <w:sz w:val="24"/>
                <w:szCs w:val="24"/>
              </w:rPr>
            </w:pPr>
            <w:r>
              <w:rPr>
                <w:rFonts w:ascii="Garamond" w:hAnsi="Garamond"/>
                <w:sz w:val="24"/>
                <w:szCs w:val="24"/>
              </w:rPr>
              <w:t>From 1988-2002, the focus of the JJDPA was on disproportionalities between minorities throughout the system.  In 2002 the word “confinement” in DMC was changed to “contact,” and the focus was thus shifted to the initial phase of penetration into the juvenile justice system (Jones 2012).</w:t>
            </w:r>
          </w:p>
          <w:p w:rsidR="00BB24D1" w:rsidRDefault="00BB24D1" w:rsidP="00BB24D1">
            <w:pPr>
              <w:rPr>
                <w:rFonts w:ascii="Garamond" w:hAnsi="Garamond"/>
                <w:sz w:val="24"/>
                <w:szCs w:val="24"/>
              </w:rPr>
            </w:pPr>
          </w:p>
          <w:p w:rsidR="00BB24D1" w:rsidRPr="00BB24D1" w:rsidRDefault="00BB24D1" w:rsidP="00BB24D1">
            <w:pPr>
              <w:rPr>
                <w:rFonts w:ascii="Garamond" w:hAnsi="Garamond"/>
                <w:sz w:val="24"/>
                <w:szCs w:val="24"/>
                <w:u w:val="single"/>
              </w:rPr>
            </w:pPr>
            <w:r>
              <w:rPr>
                <w:rFonts w:ascii="Garamond" w:hAnsi="Garamond"/>
                <w:sz w:val="24"/>
                <w:szCs w:val="24"/>
                <w:u w:val="single"/>
              </w:rPr>
              <w:t>Overview of Policy Areas:</w:t>
            </w:r>
          </w:p>
          <w:p w:rsidR="00B02249" w:rsidRPr="003D1E74" w:rsidRDefault="00B02249" w:rsidP="00BB24D1">
            <w:pPr>
              <w:ind w:firstLine="341"/>
              <w:rPr>
                <w:rFonts w:ascii="Garamond" w:hAnsi="Garamond"/>
                <w:sz w:val="24"/>
                <w:szCs w:val="24"/>
              </w:rPr>
            </w:pPr>
            <w:r>
              <w:rPr>
                <w:rFonts w:ascii="Garamond" w:hAnsi="Garamond"/>
                <w:sz w:val="24"/>
                <w:szCs w:val="24"/>
              </w:rPr>
              <w:t xml:space="preserve">Factors relating to the relative disproportionality/disparity between races in subsequent phases of the juvenile justice system (specifically (2) prosecutorial referral, (3) prosecutorial action, and (4) court action) help to support the harm caused by the trend and illustrate the need, but are not particularly relevant to the DM </w:t>
            </w:r>
            <w:r w:rsidRPr="005B2D57">
              <w:rPr>
                <w:rFonts w:ascii="Garamond" w:hAnsi="Garamond"/>
                <w:b/>
                <w:i/>
                <w:sz w:val="24"/>
                <w:szCs w:val="24"/>
              </w:rPr>
              <w:t>contact</w:t>
            </w:r>
            <w:r>
              <w:rPr>
                <w:rFonts w:ascii="Garamond" w:hAnsi="Garamond"/>
                <w:sz w:val="24"/>
                <w:szCs w:val="24"/>
              </w:rPr>
              <w:t xml:space="preserve"> phenomenon, in terms of the four phases (Jones 2012).  However, all of the prevention areas, save for unconscious, systemic racial bias, appear to have a quantifiable impact at all stages of juvenile prosecution.</w:t>
            </w:r>
          </w:p>
        </w:tc>
        <w:tc>
          <w:tcPr>
            <w:tcW w:w="0" w:type="auto"/>
          </w:tcPr>
          <w:p w:rsidR="003D1E74" w:rsidRDefault="00B02249" w:rsidP="00957C2F">
            <w:pPr>
              <w:rPr>
                <w:rFonts w:ascii="Garamond" w:hAnsi="Garamond"/>
                <w:sz w:val="24"/>
                <w:szCs w:val="24"/>
              </w:rPr>
            </w:pPr>
            <w:r>
              <w:rPr>
                <w:rFonts w:ascii="Garamond" w:hAnsi="Garamond"/>
                <w:sz w:val="24"/>
                <w:szCs w:val="24"/>
              </w:rPr>
              <w:t>Background Information</w:t>
            </w:r>
          </w:p>
          <w:p w:rsidR="00B02249" w:rsidRDefault="00B02249" w:rsidP="00957C2F">
            <w:pPr>
              <w:rPr>
                <w:rFonts w:ascii="Garamond" w:hAnsi="Garamond"/>
                <w:sz w:val="24"/>
                <w:szCs w:val="24"/>
              </w:rPr>
            </w:pPr>
          </w:p>
          <w:p w:rsidR="00B02249" w:rsidRDefault="00B02249" w:rsidP="00957C2F">
            <w:pPr>
              <w:rPr>
                <w:rFonts w:ascii="Garamond" w:hAnsi="Garamond"/>
                <w:sz w:val="24"/>
                <w:szCs w:val="24"/>
              </w:rPr>
            </w:pPr>
            <w:r>
              <w:rPr>
                <w:rFonts w:ascii="Garamond" w:hAnsi="Garamond"/>
                <w:sz w:val="24"/>
                <w:szCs w:val="24"/>
              </w:rPr>
              <w:t>All 4 policy areas</w:t>
            </w:r>
          </w:p>
          <w:p w:rsidR="00B02249" w:rsidRDefault="00B02249" w:rsidP="00957C2F">
            <w:pPr>
              <w:rPr>
                <w:rFonts w:ascii="Garamond" w:hAnsi="Garamond"/>
                <w:sz w:val="24"/>
                <w:szCs w:val="24"/>
              </w:rPr>
            </w:pPr>
          </w:p>
          <w:p w:rsidR="00B02249" w:rsidRDefault="00B02249" w:rsidP="00957C2F">
            <w:pPr>
              <w:rPr>
                <w:rFonts w:ascii="Garamond" w:hAnsi="Garamond"/>
                <w:sz w:val="24"/>
                <w:szCs w:val="24"/>
              </w:rPr>
            </w:pPr>
            <w:r>
              <w:rPr>
                <w:rFonts w:ascii="Garamond" w:hAnsi="Garamond"/>
                <w:sz w:val="24"/>
                <w:szCs w:val="24"/>
              </w:rPr>
              <w:t>[Unconscious Racial Bias at Referral Point]*</w:t>
            </w:r>
          </w:p>
          <w:p w:rsidR="00B02249" w:rsidRDefault="00B02249" w:rsidP="00957C2F">
            <w:pPr>
              <w:rPr>
                <w:rFonts w:ascii="Garamond" w:hAnsi="Garamond"/>
                <w:sz w:val="24"/>
                <w:szCs w:val="24"/>
              </w:rPr>
            </w:pPr>
          </w:p>
          <w:p w:rsidR="00B02249" w:rsidRDefault="00B02249" w:rsidP="00957C2F">
            <w:pPr>
              <w:rPr>
                <w:rFonts w:ascii="Garamond" w:hAnsi="Garamond"/>
                <w:sz w:val="24"/>
                <w:szCs w:val="24"/>
              </w:rPr>
            </w:pPr>
            <w:r>
              <w:rPr>
                <w:rFonts w:ascii="Garamond" w:hAnsi="Garamond"/>
                <w:sz w:val="24"/>
                <w:szCs w:val="24"/>
              </w:rPr>
              <w:t>[Comparative state approach]*</w:t>
            </w:r>
          </w:p>
          <w:p w:rsidR="00B02249" w:rsidRPr="003D1E74" w:rsidRDefault="00B02249" w:rsidP="00957C2F">
            <w:pPr>
              <w:rPr>
                <w:rFonts w:ascii="Garamond" w:hAnsi="Garamond"/>
                <w:sz w:val="24"/>
                <w:szCs w:val="24"/>
              </w:rPr>
            </w:pPr>
          </w:p>
        </w:tc>
      </w:tr>
      <w:tr w:rsidR="00922C6A" w:rsidTr="00957C2F">
        <w:trPr>
          <w:trHeight w:val="1865"/>
        </w:trPr>
        <w:tc>
          <w:tcPr>
            <w:tcW w:w="0" w:type="auto"/>
          </w:tcPr>
          <w:p w:rsidR="00922C6A" w:rsidRPr="00922C6A" w:rsidRDefault="00922C6A" w:rsidP="00957C2F">
            <w:pPr>
              <w:rPr>
                <w:rFonts w:ascii="Garamond" w:hAnsi="Garamond"/>
                <w:sz w:val="24"/>
                <w:szCs w:val="24"/>
              </w:rPr>
            </w:pPr>
            <w:r>
              <w:rPr>
                <w:rFonts w:ascii="Garamond" w:hAnsi="Garamond"/>
                <w:sz w:val="24"/>
                <w:szCs w:val="24"/>
              </w:rPr>
              <w:t xml:space="preserve">Interagency Council for Addressing Disproportionality (2012), </w:t>
            </w:r>
            <w:r>
              <w:rPr>
                <w:rFonts w:ascii="Garamond" w:hAnsi="Garamond"/>
                <w:i/>
                <w:sz w:val="24"/>
                <w:szCs w:val="24"/>
              </w:rPr>
              <w:t>Report to the 83</w:t>
            </w:r>
            <w:r>
              <w:rPr>
                <w:rFonts w:ascii="Garamond" w:hAnsi="Garamond"/>
                <w:i/>
                <w:sz w:val="24"/>
                <w:szCs w:val="24"/>
                <w:vertAlign w:val="superscript"/>
              </w:rPr>
              <w:t xml:space="preserve">rd </w:t>
            </w:r>
            <w:r>
              <w:rPr>
                <w:rFonts w:ascii="Garamond" w:hAnsi="Garamond"/>
                <w:i/>
                <w:sz w:val="24"/>
                <w:szCs w:val="24"/>
              </w:rPr>
              <w:t>Legislature.</w:t>
            </w:r>
            <w:r>
              <w:rPr>
                <w:rFonts w:ascii="Garamond" w:hAnsi="Garamond"/>
                <w:sz w:val="24"/>
                <w:szCs w:val="24"/>
              </w:rPr>
              <w:t xml:space="preserve">  Texas Health and Human Services Commission, Center for Elimination of Disproportionality and Disparities.</w:t>
            </w:r>
          </w:p>
        </w:tc>
        <w:tc>
          <w:tcPr>
            <w:tcW w:w="0" w:type="auto"/>
          </w:tcPr>
          <w:p w:rsidR="00922C6A" w:rsidRDefault="001E277E" w:rsidP="00957C2F">
            <w:pPr>
              <w:ind w:firstLine="350"/>
              <w:rPr>
                <w:rFonts w:ascii="Garamond" w:hAnsi="Garamond"/>
                <w:sz w:val="24"/>
                <w:szCs w:val="24"/>
              </w:rPr>
            </w:pPr>
            <w:r>
              <w:rPr>
                <w:rFonts w:ascii="Garamond" w:hAnsi="Garamond"/>
                <w:sz w:val="24"/>
                <w:szCs w:val="24"/>
              </w:rPr>
              <w:t>This report, which was assigned as part of my initial readings, served well as an introduction to the project.  Although there is no shortage of articles from which one could derive a definitions of disproportionality/disparity, this report enables a pretty substantive understanding of the two.  My working definitions for the paper are as follow:</w:t>
            </w:r>
          </w:p>
          <w:p w:rsidR="003D2E3A" w:rsidRDefault="003D2E3A" w:rsidP="00957C2F">
            <w:pPr>
              <w:ind w:firstLine="350"/>
              <w:rPr>
                <w:rFonts w:ascii="Garamond" w:hAnsi="Garamond"/>
                <w:sz w:val="24"/>
                <w:szCs w:val="24"/>
              </w:rPr>
            </w:pPr>
          </w:p>
          <w:p w:rsidR="001E277E" w:rsidRDefault="001E277E" w:rsidP="00957C2F">
            <w:pPr>
              <w:ind w:firstLine="350"/>
              <w:rPr>
                <w:rFonts w:ascii="Garamond" w:hAnsi="Garamond"/>
                <w:sz w:val="24"/>
                <w:szCs w:val="24"/>
              </w:rPr>
            </w:pPr>
            <w:r>
              <w:rPr>
                <w:rFonts w:ascii="Garamond" w:hAnsi="Garamond"/>
                <w:sz w:val="24"/>
                <w:szCs w:val="24"/>
              </w:rPr>
              <w:t xml:space="preserve">Disproportionality, for our purposes, refers to the conspicuous incongruence between the overall percentages of minorities in the juvenile population and the minorities </w:t>
            </w:r>
            <w:r w:rsidR="003D2E3A">
              <w:rPr>
                <w:rFonts w:ascii="Garamond" w:hAnsi="Garamond"/>
                <w:sz w:val="24"/>
                <w:szCs w:val="24"/>
              </w:rPr>
              <w:t>referred to the juvenile justice system</w:t>
            </w:r>
            <w:r>
              <w:rPr>
                <w:rFonts w:ascii="Garamond" w:hAnsi="Garamond"/>
                <w:sz w:val="24"/>
                <w:szCs w:val="24"/>
              </w:rPr>
              <w:t>.</w:t>
            </w:r>
            <w:r w:rsidR="003D2E3A">
              <w:rPr>
                <w:rFonts w:ascii="Garamond" w:hAnsi="Garamond"/>
                <w:sz w:val="24"/>
                <w:szCs w:val="24"/>
              </w:rPr>
              <w:t xml:space="preserve">  Incarceration is a consequence of said initial referral contact, but not the focus of this study.</w:t>
            </w:r>
          </w:p>
          <w:p w:rsidR="00CD3029" w:rsidRDefault="00CD3029" w:rsidP="00957C2F">
            <w:pPr>
              <w:ind w:firstLine="350"/>
              <w:rPr>
                <w:rFonts w:ascii="Garamond" w:hAnsi="Garamond"/>
                <w:sz w:val="24"/>
                <w:szCs w:val="24"/>
              </w:rPr>
            </w:pPr>
            <w:r>
              <w:rPr>
                <w:rFonts w:ascii="Garamond" w:hAnsi="Garamond"/>
                <w:sz w:val="24"/>
                <w:szCs w:val="24"/>
              </w:rPr>
              <w:t>Disparity, as applied in o</w:t>
            </w:r>
            <w:r w:rsidR="00A007E4">
              <w:rPr>
                <w:rFonts w:ascii="Garamond" w:hAnsi="Garamond"/>
                <w:sz w:val="24"/>
                <w:szCs w:val="24"/>
              </w:rPr>
              <w:t xml:space="preserve">ur research, refers to the </w:t>
            </w:r>
            <w:r>
              <w:rPr>
                <w:rFonts w:ascii="Garamond" w:hAnsi="Garamond"/>
                <w:sz w:val="24"/>
                <w:szCs w:val="24"/>
              </w:rPr>
              <w:t>differences in</w:t>
            </w:r>
            <w:r w:rsidR="00A007E4">
              <w:rPr>
                <w:rFonts w:ascii="Garamond" w:hAnsi="Garamond"/>
                <w:sz w:val="24"/>
                <w:szCs w:val="24"/>
              </w:rPr>
              <w:t xml:space="preserve"> the</w:t>
            </w:r>
            <w:r>
              <w:rPr>
                <w:rFonts w:ascii="Garamond" w:hAnsi="Garamond"/>
                <w:sz w:val="24"/>
                <w:szCs w:val="24"/>
              </w:rPr>
              <w:t xml:space="preserve"> quality of and access to healthcare (including mental healthcare)</w:t>
            </w:r>
            <w:r w:rsidR="00A007E4">
              <w:rPr>
                <w:rFonts w:ascii="Garamond" w:hAnsi="Garamond"/>
                <w:sz w:val="24"/>
                <w:szCs w:val="24"/>
              </w:rPr>
              <w:t xml:space="preserve">.  </w:t>
            </w:r>
          </w:p>
          <w:p w:rsidR="003D2E3A" w:rsidRPr="003D1E74" w:rsidRDefault="003D2E3A" w:rsidP="00957C2F">
            <w:pPr>
              <w:ind w:firstLine="350"/>
              <w:rPr>
                <w:rFonts w:ascii="Garamond" w:hAnsi="Garamond"/>
                <w:sz w:val="24"/>
                <w:szCs w:val="24"/>
              </w:rPr>
            </w:pPr>
            <w:r>
              <w:rPr>
                <w:rFonts w:ascii="Garamond" w:hAnsi="Garamond"/>
                <w:sz w:val="24"/>
                <w:szCs w:val="24"/>
              </w:rPr>
              <w:t>The available literature tends to demonstrate dovetailing between disproportionality and disparity and the other policy foci, Criminal Justice, Foster Care, and Education.</w:t>
            </w:r>
          </w:p>
        </w:tc>
        <w:tc>
          <w:tcPr>
            <w:tcW w:w="0" w:type="auto"/>
          </w:tcPr>
          <w:p w:rsidR="00922C6A" w:rsidRDefault="006A6B2B" w:rsidP="00957C2F">
            <w:pPr>
              <w:rPr>
                <w:rFonts w:ascii="Garamond" w:hAnsi="Garamond"/>
                <w:sz w:val="24"/>
                <w:szCs w:val="24"/>
              </w:rPr>
            </w:pPr>
            <w:r>
              <w:rPr>
                <w:rFonts w:ascii="Garamond" w:hAnsi="Garamond"/>
                <w:sz w:val="24"/>
                <w:szCs w:val="24"/>
              </w:rPr>
              <w:t>Background</w:t>
            </w:r>
          </w:p>
          <w:p w:rsidR="006A6B2B" w:rsidRDefault="006A6B2B" w:rsidP="00957C2F">
            <w:pPr>
              <w:rPr>
                <w:rFonts w:ascii="Garamond" w:hAnsi="Garamond"/>
                <w:sz w:val="24"/>
                <w:szCs w:val="24"/>
              </w:rPr>
            </w:pPr>
            <w:r>
              <w:rPr>
                <w:rFonts w:ascii="Garamond" w:hAnsi="Garamond"/>
                <w:sz w:val="24"/>
                <w:szCs w:val="24"/>
              </w:rPr>
              <w:t>Definition</w:t>
            </w:r>
          </w:p>
          <w:p w:rsidR="006A6B2B" w:rsidRPr="003D1E74" w:rsidRDefault="006A6B2B" w:rsidP="00957C2F">
            <w:pPr>
              <w:rPr>
                <w:rFonts w:ascii="Garamond" w:hAnsi="Garamond"/>
                <w:sz w:val="24"/>
                <w:szCs w:val="24"/>
              </w:rPr>
            </w:pPr>
            <w:r>
              <w:rPr>
                <w:rFonts w:ascii="Garamond" w:hAnsi="Garamond"/>
                <w:sz w:val="24"/>
                <w:szCs w:val="24"/>
              </w:rPr>
              <w:t>Overview of 4 policy areas</w:t>
            </w:r>
          </w:p>
        </w:tc>
      </w:tr>
    </w:tbl>
    <w:p w:rsidR="00991198" w:rsidRPr="00B02249" w:rsidRDefault="00991198" w:rsidP="004A0A1B">
      <w:pPr>
        <w:rPr>
          <w:rFonts w:ascii="Garamond" w:hAnsi="Garamond"/>
          <w:sz w:val="24"/>
          <w:szCs w:val="24"/>
        </w:rPr>
      </w:pPr>
      <w:bookmarkStart w:id="0" w:name="_GoBack"/>
      <w:bookmarkEnd w:id="0"/>
    </w:p>
    <w:sectPr w:rsidR="00991198" w:rsidRPr="00B02249" w:rsidSect="00D96D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0882"/>
    <w:multiLevelType w:val="hybridMultilevel"/>
    <w:tmpl w:val="209C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E2F32"/>
    <w:multiLevelType w:val="hybridMultilevel"/>
    <w:tmpl w:val="A8C04FF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71E77C3B"/>
    <w:multiLevelType w:val="hybridMultilevel"/>
    <w:tmpl w:val="6F5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D4"/>
    <w:rsid w:val="000542C7"/>
    <w:rsid w:val="00082F41"/>
    <w:rsid w:val="000B24E1"/>
    <w:rsid w:val="000C06FD"/>
    <w:rsid w:val="000E7EE3"/>
    <w:rsid w:val="00142211"/>
    <w:rsid w:val="00142799"/>
    <w:rsid w:val="001515E2"/>
    <w:rsid w:val="00176F90"/>
    <w:rsid w:val="00177651"/>
    <w:rsid w:val="001812C5"/>
    <w:rsid w:val="001831FB"/>
    <w:rsid w:val="001E277E"/>
    <w:rsid w:val="00255DD5"/>
    <w:rsid w:val="002C7868"/>
    <w:rsid w:val="003D1E74"/>
    <w:rsid w:val="003D2E3A"/>
    <w:rsid w:val="003D3C00"/>
    <w:rsid w:val="00432FD9"/>
    <w:rsid w:val="00447961"/>
    <w:rsid w:val="00483F28"/>
    <w:rsid w:val="00487B64"/>
    <w:rsid w:val="004A0A1B"/>
    <w:rsid w:val="005267A8"/>
    <w:rsid w:val="005E09F8"/>
    <w:rsid w:val="00652A2B"/>
    <w:rsid w:val="006616E1"/>
    <w:rsid w:val="006707FC"/>
    <w:rsid w:val="0068336F"/>
    <w:rsid w:val="006A6B2B"/>
    <w:rsid w:val="006E7324"/>
    <w:rsid w:val="00773C3C"/>
    <w:rsid w:val="007D0AD4"/>
    <w:rsid w:val="00860060"/>
    <w:rsid w:val="00872257"/>
    <w:rsid w:val="008722BE"/>
    <w:rsid w:val="00873328"/>
    <w:rsid w:val="008E0835"/>
    <w:rsid w:val="00904AC1"/>
    <w:rsid w:val="0090532A"/>
    <w:rsid w:val="00922C6A"/>
    <w:rsid w:val="00957C2F"/>
    <w:rsid w:val="00991198"/>
    <w:rsid w:val="009B61E2"/>
    <w:rsid w:val="00A007E4"/>
    <w:rsid w:val="00AA5CE9"/>
    <w:rsid w:val="00B02249"/>
    <w:rsid w:val="00B62C49"/>
    <w:rsid w:val="00B62F5D"/>
    <w:rsid w:val="00BB24D1"/>
    <w:rsid w:val="00C143A0"/>
    <w:rsid w:val="00C27F05"/>
    <w:rsid w:val="00C33C7F"/>
    <w:rsid w:val="00C739A8"/>
    <w:rsid w:val="00CD3029"/>
    <w:rsid w:val="00CE7FD8"/>
    <w:rsid w:val="00D55540"/>
    <w:rsid w:val="00D65576"/>
    <w:rsid w:val="00D96DD4"/>
    <w:rsid w:val="00DD71EB"/>
    <w:rsid w:val="00DE688D"/>
    <w:rsid w:val="00E635A5"/>
    <w:rsid w:val="00EE7A88"/>
    <w:rsid w:val="00F268D4"/>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CC4E8-2051-455F-A666-62403E72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540"/>
    <w:pPr>
      <w:ind w:left="720"/>
      <w:contextualSpacing/>
    </w:pPr>
  </w:style>
  <w:style w:type="paragraph" w:styleId="BalloonText">
    <w:name w:val="Balloon Text"/>
    <w:basedOn w:val="Normal"/>
    <w:link w:val="BalloonTextChar"/>
    <w:uiPriority w:val="99"/>
    <w:semiHidden/>
    <w:unhideWhenUsed/>
    <w:rsid w:val="004A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Guidry, Sarah R.(TMSLAW)</cp:lastModifiedBy>
  <cp:revision>3</cp:revision>
  <cp:lastPrinted>2014-09-06T14:10:00Z</cp:lastPrinted>
  <dcterms:created xsi:type="dcterms:W3CDTF">2014-02-19T17:31:00Z</dcterms:created>
  <dcterms:modified xsi:type="dcterms:W3CDTF">2014-09-06T14:10:00Z</dcterms:modified>
</cp:coreProperties>
</file>